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56" w:rsidRPr="00B72D56" w:rsidRDefault="00B72D56" w:rsidP="00B72D56">
      <w:pPr>
        <w:ind w:left="22" w:hangingChars="5" w:hanging="22"/>
        <w:jc w:val="center"/>
        <w:outlineLvl w:val="0"/>
        <w:rPr>
          <w:rFonts w:ascii="標楷體" w:eastAsia="標楷體" w:hAnsi="標楷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B72D56">
        <w:rPr>
          <w:rFonts w:ascii="標楷體" w:eastAsia="標楷體" w:hAnsi="標楷體" w:hint="eastAsia"/>
          <w:b/>
          <w:bCs/>
          <w:color w:val="000000"/>
          <w:kern w:val="0"/>
          <w:sz w:val="44"/>
          <w:szCs w:val="44"/>
        </w:rPr>
        <w:t>臺北市立大學學生轉系要點</w:t>
      </w:r>
    </w:p>
    <w:p w:rsidR="00B72D56" w:rsidRPr="00B72D56" w:rsidRDefault="00B72D56" w:rsidP="00B72D56">
      <w:pPr>
        <w:spacing w:line="360" w:lineRule="exact"/>
        <w:ind w:left="22" w:hangingChars="5" w:hanging="22"/>
        <w:jc w:val="center"/>
        <w:outlineLvl w:val="0"/>
        <w:rPr>
          <w:rFonts w:ascii="標楷體" w:eastAsia="標楷體" w:hAnsi="標楷體"/>
          <w:b/>
          <w:bCs/>
          <w:color w:val="000000"/>
          <w:kern w:val="0"/>
          <w:sz w:val="44"/>
          <w:szCs w:val="44"/>
        </w:rPr>
      </w:pPr>
    </w:p>
    <w:p w:rsidR="00B72D56" w:rsidRDefault="00B72D56" w:rsidP="00B72D56">
      <w:pPr>
        <w:jc w:val="right"/>
        <w:rPr>
          <w:rFonts w:ascii="標楷體" w:eastAsia="標楷體" w:hAnsi="標楷體"/>
          <w:sz w:val="20"/>
          <w:szCs w:val="20"/>
        </w:rPr>
      </w:pPr>
      <w:r w:rsidRPr="00B72D56">
        <w:rPr>
          <w:rFonts w:ascii="標楷體" w:eastAsia="標楷體" w:hAnsi="標楷體"/>
          <w:sz w:val="20"/>
          <w:szCs w:val="20"/>
        </w:rPr>
        <w:t>102</w:t>
      </w:r>
      <w:r w:rsidRPr="00B72D56">
        <w:rPr>
          <w:rFonts w:ascii="標楷體" w:eastAsia="標楷體" w:hAnsi="標楷體" w:hint="eastAsia"/>
          <w:sz w:val="20"/>
          <w:szCs w:val="20"/>
        </w:rPr>
        <w:t>年</w:t>
      </w:r>
      <w:r w:rsidRPr="00B72D56">
        <w:rPr>
          <w:rFonts w:ascii="標楷體" w:eastAsia="標楷體" w:hAnsi="標楷體"/>
          <w:sz w:val="20"/>
          <w:szCs w:val="20"/>
        </w:rPr>
        <w:t>11</w:t>
      </w:r>
      <w:r w:rsidRPr="00B72D56">
        <w:rPr>
          <w:rFonts w:ascii="標楷體" w:eastAsia="標楷體" w:hAnsi="標楷體" w:hint="eastAsia"/>
          <w:sz w:val="20"/>
          <w:szCs w:val="20"/>
        </w:rPr>
        <w:t>月</w:t>
      </w:r>
      <w:r w:rsidRPr="00B72D56">
        <w:rPr>
          <w:rFonts w:ascii="標楷體" w:eastAsia="標楷體" w:hAnsi="標楷體"/>
          <w:sz w:val="20"/>
          <w:szCs w:val="20"/>
        </w:rPr>
        <w:t>12</w:t>
      </w:r>
      <w:r w:rsidRPr="00B72D56">
        <w:rPr>
          <w:rFonts w:ascii="標楷體" w:eastAsia="標楷體" w:hAnsi="標楷體" w:hint="eastAsia"/>
          <w:sz w:val="20"/>
          <w:szCs w:val="20"/>
        </w:rPr>
        <w:t>日</w:t>
      </w:r>
      <w:r w:rsidRPr="00B72D56">
        <w:rPr>
          <w:rFonts w:ascii="標楷體" w:eastAsia="標楷體" w:hAnsi="標楷體"/>
          <w:sz w:val="20"/>
          <w:szCs w:val="20"/>
        </w:rPr>
        <w:t>102</w:t>
      </w:r>
      <w:r w:rsidRPr="00B72D56">
        <w:rPr>
          <w:rFonts w:ascii="標楷體" w:eastAsia="標楷體" w:hAnsi="標楷體" w:hint="eastAsia"/>
          <w:sz w:val="20"/>
          <w:szCs w:val="20"/>
        </w:rPr>
        <w:t>學年度第</w:t>
      </w:r>
      <w:r w:rsidRPr="00B72D56">
        <w:rPr>
          <w:rFonts w:ascii="標楷體" w:eastAsia="標楷體" w:hAnsi="標楷體"/>
          <w:sz w:val="20"/>
          <w:szCs w:val="20"/>
        </w:rPr>
        <w:t>1</w:t>
      </w:r>
      <w:r w:rsidRPr="00B72D56">
        <w:rPr>
          <w:rFonts w:ascii="標楷體" w:eastAsia="標楷體" w:hAnsi="標楷體" w:hint="eastAsia"/>
          <w:sz w:val="20"/>
          <w:szCs w:val="20"/>
        </w:rPr>
        <w:t>學期第</w:t>
      </w:r>
      <w:r w:rsidRPr="00B72D56">
        <w:rPr>
          <w:rFonts w:ascii="標楷體" w:eastAsia="標楷體" w:hAnsi="標楷體"/>
          <w:sz w:val="20"/>
          <w:szCs w:val="20"/>
        </w:rPr>
        <w:t>2</w:t>
      </w:r>
      <w:r w:rsidRPr="00B72D56">
        <w:rPr>
          <w:rFonts w:ascii="標楷體" w:eastAsia="標楷體" w:hAnsi="標楷體" w:hint="eastAsia"/>
          <w:sz w:val="20"/>
          <w:szCs w:val="20"/>
        </w:rPr>
        <w:t>次教務會議通過</w:t>
      </w:r>
    </w:p>
    <w:p w:rsidR="00A757E2" w:rsidRPr="00A757E2" w:rsidRDefault="00A757E2" w:rsidP="00B72D56">
      <w:pPr>
        <w:jc w:val="right"/>
        <w:rPr>
          <w:rFonts w:ascii="標楷體" w:eastAsia="標楷體" w:hAnsi="標楷體"/>
          <w:bCs/>
          <w:color w:val="000000"/>
          <w:kern w:val="0"/>
          <w:sz w:val="20"/>
          <w:szCs w:val="20"/>
        </w:rPr>
      </w:pP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8</w:t>
      </w: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06</w:t>
      </w: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04</w:t>
      </w: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日10</w:t>
      </w:r>
      <w:r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7</w:t>
      </w: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4</w:t>
      </w:r>
      <w:r w:rsidRPr="00A757E2">
        <w:rPr>
          <w:rFonts w:ascii="標楷體" w:eastAsia="標楷體" w:hAnsi="標楷體" w:hint="eastAsia"/>
          <w:bCs/>
          <w:color w:val="000000"/>
          <w:kern w:val="0"/>
          <w:sz w:val="20"/>
          <w:szCs w:val="20"/>
        </w:rPr>
        <w:t>次教務會議通過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一、臺北市立大學（以下簡稱本校）依據學則第三十二條規定，為辦理學生轉系事宜，特訂定本要點。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eastAsia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二、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eastAsia="標楷體" w:hint="eastAsia"/>
          <w:sz w:val="28"/>
          <w:szCs w:val="28"/>
        </w:rPr>
        <w:t>學生於第二學年開始以前得申請轉系，其於第三學年開始以前申請者，可轉入性質相近學系三年級或性質</w:t>
      </w:r>
      <w:proofErr w:type="gramStart"/>
      <w:r w:rsidRPr="00B72D56">
        <w:rPr>
          <w:rFonts w:eastAsia="標楷體" w:hint="eastAsia"/>
          <w:sz w:val="28"/>
          <w:szCs w:val="28"/>
        </w:rPr>
        <w:t>不</w:t>
      </w:r>
      <w:proofErr w:type="gramEnd"/>
      <w:r w:rsidRPr="00B72D56">
        <w:rPr>
          <w:rFonts w:eastAsia="標楷體" w:hint="eastAsia"/>
          <w:sz w:val="28"/>
          <w:szCs w:val="28"/>
        </w:rPr>
        <w:t>同學系二年級肄業；其因特殊原因於第四學年開始以前申請者，可轉入性質相近學系。降級</w:t>
      </w:r>
      <w:proofErr w:type="gramStart"/>
      <w:r w:rsidRPr="00B72D56">
        <w:rPr>
          <w:rFonts w:eastAsia="標楷體" w:hint="eastAsia"/>
          <w:sz w:val="28"/>
          <w:szCs w:val="28"/>
        </w:rPr>
        <w:t>轉系者</w:t>
      </w:r>
      <w:proofErr w:type="gramEnd"/>
      <w:r w:rsidRPr="00B72D56">
        <w:rPr>
          <w:rFonts w:eastAsia="標楷體" w:hint="eastAsia"/>
          <w:sz w:val="28"/>
          <w:szCs w:val="28"/>
        </w:rPr>
        <w:t>（不得申請降轉一年級），其在二系重複修習之年限，不列入轉入學系之最高修業年限</w:t>
      </w:r>
      <w:proofErr w:type="gramStart"/>
      <w:r w:rsidRPr="00B72D56">
        <w:rPr>
          <w:rFonts w:eastAsia="標楷體" w:hint="eastAsia"/>
          <w:sz w:val="28"/>
          <w:szCs w:val="28"/>
        </w:rPr>
        <w:t>併</w:t>
      </w:r>
      <w:proofErr w:type="gramEnd"/>
      <w:r w:rsidRPr="00B72D56">
        <w:rPr>
          <w:rFonts w:eastAsia="標楷體" w:hint="eastAsia"/>
          <w:sz w:val="28"/>
          <w:szCs w:val="28"/>
        </w:rPr>
        <w:t>計。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eastAsia="標楷體"/>
          <w:sz w:val="28"/>
          <w:szCs w:val="28"/>
        </w:rPr>
        <w:t xml:space="preserve">    </w:t>
      </w:r>
      <w:r w:rsidRPr="00B72D56">
        <w:rPr>
          <w:rFonts w:ascii="標楷體" w:eastAsia="標楷體" w:hAnsi="標楷體" w:hint="eastAsia"/>
          <w:sz w:val="28"/>
          <w:szCs w:val="28"/>
        </w:rPr>
        <w:t>學生應依本校擬定期限申請轉系。</w:t>
      </w:r>
    </w:p>
    <w:p w:rsid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三、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轉系得舉行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考試，其考試方法應考科目及考試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日期均由擬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轉入之學系規定之。申請轉系之學生必經原屬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轉出學系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同意後始得參加考試。</w:t>
      </w:r>
    </w:p>
    <w:p w:rsidR="00831FC5" w:rsidRPr="00B72D56" w:rsidRDefault="00831FC5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學系訂定</w:t>
      </w:r>
      <w:proofErr w:type="gramEnd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之轉系標準或甄選規定以</w:t>
      </w:r>
      <w:proofErr w:type="gramStart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不</w:t>
      </w:r>
      <w:proofErr w:type="gramEnd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參</w:t>
      </w:r>
      <w:proofErr w:type="gramStart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採學生原系之</w:t>
      </w:r>
      <w:proofErr w:type="gramEnd"/>
      <w:r w:rsidRPr="00831FC5">
        <w:rPr>
          <w:rFonts w:ascii="標楷體" w:eastAsia="標楷體" w:hAnsi="標楷體" w:hint="eastAsia"/>
          <w:b/>
          <w:sz w:val="28"/>
          <w:szCs w:val="28"/>
          <w:u w:val="single"/>
        </w:rPr>
        <w:t>學業平均成績或排名為原則。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四、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>申請轉系以一次為限，其經核准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轉系者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，不得請求再轉他系或回復原系肄業。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五、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 xml:space="preserve">　轉系學生須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修滿轉入學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系規定之科目及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學分數方得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畢業。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六、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 xml:space="preserve">　進修推廣處及大學部之學生不得互轉。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七、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 xml:space="preserve">　下列各類學生，不准轉系。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（一）因故請求休學，或勒令休學，尚在休學期間內者。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（二）因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缺額續招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，經錄取之轉學生。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（三）凡須加考術科之科目而入學之學生。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（四）操行成績七十分以下者。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八、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>凡須加考術科之科目而入學之學系，如學生中途因個人因素，不能繼續攻讀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原學系而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申請轉入未加考術科科目之學系，得不受第七點第三款之限制。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九、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>轉入學生名額以該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學系原核定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名額連同教育部分發新生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名額加貳成為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度，如申請轉入人數，超過限制，則</w:t>
      </w:r>
      <w:proofErr w:type="gramStart"/>
      <w:r w:rsidRPr="00B72D5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72D56">
        <w:rPr>
          <w:rFonts w:ascii="標楷體" w:eastAsia="標楷體" w:hAnsi="標楷體" w:hint="eastAsia"/>
          <w:sz w:val="28"/>
          <w:szCs w:val="28"/>
        </w:rPr>
        <w:t>考試或學業成績擇優決定之。</w:t>
      </w:r>
    </w:p>
    <w:p w:rsidR="00B72D56" w:rsidRPr="00B72D56" w:rsidRDefault="00B72D56" w:rsidP="00B72D56">
      <w:pPr>
        <w:spacing w:line="3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十、</w:t>
      </w:r>
      <w:r w:rsidRPr="00B72D56">
        <w:rPr>
          <w:rFonts w:ascii="標楷體" w:eastAsia="標楷體" w:hAnsi="標楷體"/>
          <w:sz w:val="28"/>
          <w:szCs w:val="28"/>
        </w:rPr>
        <w:tab/>
      </w:r>
      <w:r w:rsidRPr="00B72D56">
        <w:rPr>
          <w:rFonts w:ascii="標楷體" w:eastAsia="標楷體" w:hAnsi="標楷體" w:hint="eastAsia"/>
          <w:sz w:val="28"/>
          <w:szCs w:val="28"/>
        </w:rPr>
        <w:t>本要點未盡事宜，得由教務長召開轉系審查委員會處理。</w:t>
      </w:r>
    </w:p>
    <w:p w:rsidR="00B72D56" w:rsidRPr="00B72D56" w:rsidRDefault="00B72D56" w:rsidP="00B72D56">
      <w:pPr>
        <w:spacing w:line="36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B72D56">
        <w:rPr>
          <w:rFonts w:ascii="標楷體" w:eastAsia="標楷體" w:hAnsi="標楷體" w:hint="eastAsia"/>
          <w:sz w:val="28"/>
          <w:szCs w:val="28"/>
        </w:rPr>
        <w:t>十一、本要點經教務會議通過，陳請校長核定後實施。</w:t>
      </w:r>
    </w:p>
    <w:p w:rsidR="00B72D56" w:rsidRPr="00B72D56" w:rsidRDefault="00B72D56" w:rsidP="00B72D56">
      <w:pPr>
        <w:spacing w:line="360" w:lineRule="exact"/>
      </w:pPr>
    </w:p>
    <w:p w:rsidR="00B72D56" w:rsidRPr="00B72D56" w:rsidRDefault="00B72D56"/>
    <w:sectPr w:rsidR="00B72D56" w:rsidRPr="00B72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0"/>
    <w:rsid w:val="000A07E4"/>
    <w:rsid w:val="00261E80"/>
    <w:rsid w:val="00266070"/>
    <w:rsid w:val="00474EC7"/>
    <w:rsid w:val="00736ECF"/>
    <w:rsid w:val="00831FC5"/>
    <w:rsid w:val="008D252B"/>
    <w:rsid w:val="00A757E2"/>
    <w:rsid w:val="00B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5</cp:revision>
  <dcterms:created xsi:type="dcterms:W3CDTF">2019-06-21T12:18:00Z</dcterms:created>
  <dcterms:modified xsi:type="dcterms:W3CDTF">2019-07-18T01:17:00Z</dcterms:modified>
</cp:coreProperties>
</file>